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5D2F" w14:textId="67D8599B" w:rsidR="00A0096D" w:rsidRDefault="00A0096D" w:rsidP="00A0096D">
      <w:pPr>
        <w:spacing w:after="0"/>
        <w:jc w:val="center"/>
      </w:pPr>
      <w:r>
        <w:rPr>
          <w:noProof/>
        </w:rPr>
        <w:drawing>
          <wp:inline distT="0" distB="0" distL="0" distR="0" wp14:anchorId="71F26D44" wp14:editId="435759CF">
            <wp:extent cx="1103478" cy="832022"/>
            <wp:effectExtent l="0" t="0" r="1905" b="6350"/>
            <wp:docPr id="1808573996"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73996"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3632" cy="832138"/>
                    </a:xfrm>
                    <a:prstGeom prst="rect">
                      <a:avLst/>
                    </a:prstGeom>
                  </pic:spPr>
                </pic:pic>
              </a:graphicData>
            </a:graphic>
          </wp:inline>
        </w:drawing>
      </w:r>
    </w:p>
    <w:p w14:paraId="5B195A73" w14:textId="46BF0CEB" w:rsidR="00A0096D" w:rsidRDefault="00A0096D" w:rsidP="00A0096D">
      <w:pPr>
        <w:spacing w:after="0"/>
        <w:jc w:val="center"/>
        <w:rPr>
          <w:sz w:val="32"/>
          <w:szCs w:val="32"/>
        </w:rPr>
      </w:pPr>
      <w:r w:rsidRPr="00A0096D">
        <w:rPr>
          <w:b/>
          <w:bCs/>
          <w:sz w:val="32"/>
          <w:szCs w:val="32"/>
          <w:u w:val="single"/>
        </w:rPr>
        <w:t>Keeping Children Safe</w:t>
      </w:r>
    </w:p>
    <w:p w14:paraId="5733C258" w14:textId="77777777" w:rsidR="00A0096D" w:rsidRDefault="00A0096D" w:rsidP="00A0096D">
      <w:pPr>
        <w:spacing w:after="0"/>
        <w:rPr>
          <w:sz w:val="32"/>
          <w:szCs w:val="32"/>
        </w:rPr>
      </w:pPr>
    </w:p>
    <w:p w14:paraId="715872FD" w14:textId="2A4FD5D4" w:rsidR="00A0096D" w:rsidRPr="00C202FF" w:rsidRDefault="00A0096D" w:rsidP="00A0096D">
      <w:pPr>
        <w:spacing w:after="0"/>
        <w:rPr>
          <w:sz w:val="28"/>
          <w:szCs w:val="28"/>
        </w:rPr>
      </w:pPr>
      <w:r w:rsidRPr="00C202FF">
        <w:rPr>
          <w:sz w:val="28"/>
          <w:szCs w:val="28"/>
        </w:rPr>
        <w:t>This Policy outlines our commitment as a responsible provider to ensure the safety, health and well-being of all the children in our care.</w:t>
      </w:r>
    </w:p>
    <w:p w14:paraId="2D4D8BAA" w14:textId="6F5157D2" w:rsidR="00A0096D" w:rsidRPr="00C202FF" w:rsidRDefault="00A0096D" w:rsidP="00A0096D">
      <w:pPr>
        <w:spacing w:after="0"/>
        <w:rPr>
          <w:sz w:val="28"/>
          <w:szCs w:val="28"/>
        </w:rPr>
      </w:pPr>
      <w:r w:rsidRPr="00C202FF">
        <w:rPr>
          <w:sz w:val="28"/>
          <w:szCs w:val="28"/>
        </w:rPr>
        <w:t xml:space="preserve">The EYFS states that “Children learn best when they are healthy, safe and secure, when their individual needs are met, and when they have positive relationships with the adults caring for them”. </w:t>
      </w:r>
    </w:p>
    <w:p w14:paraId="71BC741B" w14:textId="77777777" w:rsidR="00A0096D" w:rsidRPr="00C202FF" w:rsidRDefault="00A0096D" w:rsidP="00A0096D">
      <w:pPr>
        <w:spacing w:after="0"/>
        <w:rPr>
          <w:sz w:val="28"/>
          <w:szCs w:val="28"/>
        </w:rPr>
      </w:pPr>
    </w:p>
    <w:p w14:paraId="710C6725" w14:textId="7C88B391" w:rsidR="00A0096D" w:rsidRPr="00C202FF" w:rsidRDefault="00A0096D" w:rsidP="00A0096D">
      <w:pPr>
        <w:spacing w:after="0"/>
        <w:rPr>
          <w:sz w:val="28"/>
          <w:szCs w:val="28"/>
        </w:rPr>
      </w:pPr>
      <w:r w:rsidRPr="00C202FF">
        <w:rPr>
          <w:sz w:val="28"/>
          <w:szCs w:val="28"/>
        </w:rPr>
        <w:t>As a responsible provider it is our duty t</w:t>
      </w:r>
      <w:r w:rsidR="00D5735D" w:rsidRPr="00C202FF">
        <w:rPr>
          <w:sz w:val="28"/>
          <w:szCs w:val="28"/>
        </w:rPr>
        <w:t>o</w:t>
      </w:r>
      <w:r w:rsidRPr="00C202FF">
        <w:rPr>
          <w:sz w:val="28"/>
          <w:szCs w:val="28"/>
        </w:rPr>
        <w:t xml:space="preserve"> ensure that we </w:t>
      </w:r>
      <w:r w:rsidR="00D5735D" w:rsidRPr="00C202FF">
        <w:rPr>
          <w:sz w:val="28"/>
          <w:szCs w:val="28"/>
        </w:rPr>
        <w:t xml:space="preserve">take the necessary steps to ensure that we are compliant and transparent with our policies and procedures and show clear expectations that are reflective for all involved with the children’s care, within the </w:t>
      </w:r>
      <w:r w:rsidR="005538D7" w:rsidRPr="00C202FF">
        <w:rPr>
          <w:sz w:val="28"/>
          <w:szCs w:val="28"/>
        </w:rPr>
        <w:t>policies</w:t>
      </w:r>
      <w:r w:rsidR="00D5735D" w:rsidRPr="00C202FF">
        <w:rPr>
          <w:sz w:val="28"/>
          <w:szCs w:val="28"/>
        </w:rPr>
        <w:t xml:space="preserve"> and procedures. </w:t>
      </w:r>
    </w:p>
    <w:p w14:paraId="0A2C7843" w14:textId="5A0E5B04" w:rsidR="00D5735D" w:rsidRPr="00C202FF" w:rsidRDefault="00D5735D" w:rsidP="00A0096D">
      <w:pPr>
        <w:spacing w:after="0"/>
        <w:rPr>
          <w:sz w:val="28"/>
          <w:szCs w:val="28"/>
        </w:rPr>
      </w:pPr>
      <w:r w:rsidRPr="00C202FF">
        <w:rPr>
          <w:sz w:val="28"/>
          <w:szCs w:val="28"/>
        </w:rPr>
        <w:t xml:space="preserve">Below is a list of policies and procedures adapted to meet the needs of our setting here at Hayley’s Little Heroes, the below policies are how we ensure that we are not only transparent but also ensure that we are compliant and take full responsibility for the role in which we have taken as a responsible childcare provider. </w:t>
      </w:r>
    </w:p>
    <w:p w14:paraId="26133449" w14:textId="77777777" w:rsidR="00D5735D" w:rsidRPr="00C202FF" w:rsidRDefault="00D5735D" w:rsidP="00A0096D">
      <w:pPr>
        <w:spacing w:after="0"/>
        <w:rPr>
          <w:sz w:val="28"/>
          <w:szCs w:val="28"/>
        </w:rPr>
      </w:pPr>
    </w:p>
    <w:p w14:paraId="54FFC176" w14:textId="244AEF63" w:rsidR="00D5735D" w:rsidRPr="00C202FF" w:rsidRDefault="00D5735D" w:rsidP="00A0096D">
      <w:pPr>
        <w:spacing w:after="0"/>
        <w:rPr>
          <w:sz w:val="28"/>
          <w:szCs w:val="28"/>
        </w:rPr>
      </w:pPr>
      <w:r w:rsidRPr="00C202FF">
        <w:rPr>
          <w:b/>
          <w:bCs/>
          <w:sz w:val="28"/>
          <w:szCs w:val="28"/>
        </w:rPr>
        <w:t xml:space="preserve">Safeguarding </w:t>
      </w:r>
      <w:r w:rsidRPr="00C202FF">
        <w:rPr>
          <w:sz w:val="28"/>
          <w:szCs w:val="28"/>
        </w:rPr>
        <w:t>– This policy outlines our commitment to ensuring the safety, health and well-being of the children in our care.</w:t>
      </w:r>
    </w:p>
    <w:p w14:paraId="32350DBE" w14:textId="41D4A9AA" w:rsidR="00D5735D" w:rsidRPr="00C202FF" w:rsidRDefault="00D5735D" w:rsidP="00A0096D">
      <w:pPr>
        <w:spacing w:after="0"/>
        <w:rPr>
          <w:sz w:val="28"/>
          <w:szCs w:val="28"/>
        </w:rPr>
      </w:pPr>
      <w:r w:rsidRPr="00C202FF">
        <w:rPr>
          <w:b/>
          <w:bCs/>
          <w:sz w:val="28"/>
          <w:szCs w:val="28"/>
        </w:rPr>
        <w:t>Health and Safety</w:t>
      </w:r>
      <w:r w:rsidRPr="00C202FF">
        <w:rPr>
          <w:sz w:val="28"/>
          <w:szCs w:val="28"/>
        </w:rPr>
        <w:t xml:space="preserve"> – This policy ensures that as a setting we maintain a safe environment by way of Risk Assessments and First Aid procedures for all staff and children. </w:t>
      </w:r>
    </w:p>
    <w:p w14:paraId="7227F6D9" w14:textId="2358ABC6" w:rsidR="00D5735D" w:rsidRPr="00C202FF" w:rsidRDefault="00D5735D" w:rsidP="00A0096D">
      <w:pPr>
        <w:spacing w:after="0"/>
        <w:rPr>
          <w:sz w:val="28"/>
          <w:szCs w:val="28"/>
        </w:rPr>
      </w:pPr>
      <w:r w:rsidRPr="00C202FF">
        <w:rPr>
          <w:b/>
          <w:bCs/>
          <w:sz w:val="28"/>
          <w:szCs w:val="28"/>
        </w:rPr>
        <w:t>Recruitment</w:t>
      </w:r>
      <w:r w:rsidRPr="00C202FF">
        <w:rPr>
          <w:sz w:val="28"/>
          <w:szCs w:val="28"/>
        </w:rPr>
        <w:t xml:space="preserve"> – This policy ensures all staff and volunteers are suitable to work with children, by ensuring as a responsible employer all staff are fully DBS checked and have up to date references. </w:t>
      </w:r>
    </w:p>
    <w:p w14:paraId="0FDCC8EE" w14:textId="5831D38B" w:rsidR="00D5735D" w:rsidRPr="00C202FF" w:rsidRDefault="00D5735D" w:rsidP="00A0096D">
      <w:pPr>
        <w:spacing w:after="0"/>
        <w:rPr>
          <w:sz w:val="28"/>
          <w:szCs w:val="28"/>
        </w:rPr>
      </w:pPr>
      <w:r w:rsidRPr="00C202FF">
        <w:rPr>
          <w:b/>
          <w:bCs/>
          <w:sz w:val="28"/>
          <w:szCs w:val="28"/>
        </w:rPr>
        <w:t>Codes of Conduct</w:t>
      </w:r>
      <w:r w:rsidRPr="00C202FF">
        <w:rPr>
          <w:sz w:val="28"/>
          <w:szCs w:val="28"/>
        </w:rPr>
        <w:t xml:space="preserve"> – This policy helps us to establish clear expectations for all staff and their behaviour within the setting. </w:t>
      </w:r>
    </w:p>
    <w:p w14:paraId="6B04166E" w14:textId="5D1BF2A1" w:rsidR="00D5735D" w:rsidRPr="00C202FF" w:rsidRDefault="00D5735D" w:rsidP="00A0096D">
      <w:pPr>
        <w:spacing w:after="0"/>
        <w:rPr>
          <w:sz w:val="28"/>
          <w:szCs w:val="28"/>
        </w:rPr>
      </w:pPr>
      <w:r w:rsidRPr="00C202FF">
        <w:rPr>
          <w:b/>
          <w:bCs/>
          <w:sz w:val="28"/>
          <w:szCs w:val="28"/>
        </w:rPr>
        <w:t>Managin</w:t>
      </w:r>
      <w:r w:rsidR="00573526" w:rsidRPr="00C202FF">
        <w:rPr>
          <w:b/>
          <w:bCs/>
          <w:sz w:val="28"/>
          <w:szCs w:val="28"/>
        </w:rPr>
        <w:t>g</w:t>
      </w:r>
      <w:r w:rsidRPr="00C202FF">
        <w:rPr>
          <w:b/>
          <w:bCs/>
          <w:sz w:val="28"/>
          <w:szCs w:val="28"/>
        </w:rPr>
        <w:t xml:space="preserve"> Concerns</w:t>
      </w:r>
      <w:r w:rsidRPr="00C202FF">
        <w:rPr>
          <w:sz w:val="28"/>
          <w:szCs w:val="28"/>
        </w:rPr>
        <w:t xml:space="preserve"> – This p</w:t>
      </w:r>
      <w:r w:rsidR="00573526" w:rsidRPr="00C202FF">
        <w:rPr>
          <w:sz w:val="28"/>
          <w:szCs w:val="28"/>
        </w:rPr>
        <w:t>rocedure allows us to manage any concerns we may have as a setting for any staff or children. You may refer to our Safeguarding policy and Whistleblowing policies for more information.</w:t>
      </w:r>
    </w:p>
    <w:p w14:paraId="4438A2E5" w14:textId="77D55720" w:rsidR="00573526" w:rsidRPr="00C202FF" w:rsidRDefault="00573526" w:rsidP="00A0096D">
      <w:pPr>
        <w:spacing w:after="0"/>
        <w:rPr>
          <w:sz w:val="28"/>
          <w:szCs w:val="28"/>
        </w:rPr>
      </w:pPr>
      <w:r w:rsidRPr="00C202FF">
        <w:rPr>
          <w:b/>
          <w:bCs/>
          <w:sz w:val="28"/>
          <w:szCs w:val="28"/>
        </w:rPr>
        <w:t>Taking and Sharing Images</w:t>
      </w:r>
      <w:r w:rsidRPr="00C202FF">
        <w:rPr>
          <w:sz w:val="28"/>
          <w:szCs w:val="28"/>
        </w:rPr>
        <w:t xml:space="preserve"> – This can be found </w:t>
      </w:r>
      <w:r w:rsidR="00DA5B62" w:rsidRPr="00C202FF">
        <w:rPr>
          <w:sz w:val="28"/>
          <w:szCs w:val="28"/>
        </w:rPr>
        <w:t>within our</w:t>
      </w:r>
      <w:r w:rsidRPr="00C202FF">
        <w:rPr>
          <w:sz w:val="28"/>
          <w:szCs w:val="28"/>
        </w:rPr>
        <w:t xml:space="preserve"> safeguarding policy and mobile phone policy, as well as </w:t>
      </w:r>
      <w:r w:rsidR="00DA5B62" w:rsidRPr="00C202FF">
        <w:rPr>
          <w:sz w:val="28"/>
          <w:szCs w:val="28"/>
        </w:rPr>
        <w:t>o</w:t>
      </w:r>
      <w:r w:rsidRPr="00C202FF">
        <w:rPr>
          <w:sz w:val="28"/>
          <w:szCs w:val="28"/>
        </w:rPr>
        <w:t>ur online and social media policies where this gives clear guidance and instruction on the correct way to record images and videos of staff and children.</w:t>
      </w:r>
    </w:p>
    <w:p w14:paraId="3659D96A" w14:textId="14E747A1" w:rsidR="00573526" w:rsidRPr="00C202FF" w:rsidRDefault="00573526" w:rsidP="00A0096D">
      <w:pPr>
        <w:spacing w:after="0"/>
        <w:rPr>
          <w:sz w:val="28"/>
          <w:szCs w:val="28"/>
        </w:rPr>
      </w:pPr>
      <w:r w:rsidRPr="00C202FF">
        <w:rPr>
          <w:b/>
          <w:bCs/>
          <w:sz w:val="28"/>
          <w:szCs w:val="28"/>
        </w:rPr>
        <w:lastRenderedPageBreak/>
        <w:t>Whistleblowing</w:t>
      </w:r>
      <w:r w:rsidRPr="00C202FF">
        <w:rPr>
          <w:sz w:val="28"/>
          <w:szCs w:val="28"/>
        </w:rPr>
        <w:t xml:space="preserve"> – This policy allows clear guidance for our staff, to enable them to raise any concerns without fear of reprisal, whether this is in relation to a child or an adult within the setting.</w:t>
      </w:r>
    </w:p>
    <w:p w14:paraId="15ACC2E6" w14:textId="0BCBF36F" w:rsidR="00DA5B62" w:rsidRPr="00C202FF" w:rsidRDefault="00DA5B62" w:rsidP="00A0096D">
      <w:pPr>
        <w:spacing w:after="0"/>
        <w:rPr>
          <w:sz w:val="28"/>
          <w:szCs w:val="28"/>
        </w:rPr>
      </w:pPr>
      <w:r w:rsidRPr="00C202FF">
        <w:rPr>
          <w:b/>
          <w:bCs/>
          <w:sz w:val="28"/>
          <w:szCs w:val="28"/>
        </w:rPr>
        <w:t>Safer Sleeping</w:t>
      </w:r>
      <w:r w:rsidRPr="00C202FF">
        <w:rPr>
          <w:sz w:val="28"/>
          <w:szCs w:val="28"/>
        </w:rPr>
        <w:t xml:space="preserve"> – This policy outlines our commitment to ensure that regular checks are taken for all sleeping children regardless of age and our limitations as per EYFS guidelines regarding sleep limitations and restrictions, and how we ensure that adequate checks are performed during sleep and ensuring the risk of SIDS is reduced. </w:t>
      </w:r>
    </w:p>
    <w:p w14:paraId="421BACC5" w14:textId="36907B79" w:rsidR="00DA5B62" w:rsidRPr="00C202FF" w:rsidRDefault="00DA5B62" w:rsidP="00A0096D">
      <w:pPr>
        <w:spacing w:after="0"/>
        <w:rPr>
          <w:sz w:val="28"/>
          <w:szCs w:val="28"/>
        </w:rPr>
      </w:pPr>
      <w:r w:rsidRPr="00C202FF">
        <w:rPr>
          <w:b/>
          <w:bCs/>
          <w:sz w:val="28"/>
          <w:szCs w:val="28"/>
        </w:rPr>
        <w:t>Safer Eating</w:t>
      </w:r>
      <w:r w:rsidRPr="00C202FF">
        <w:rPr>
          <w:sz w:val="28"/>
          <w:szCs w:val="28"/>
        </w:rPr>
        <w:t xml:space="preserve"> - This policy shows our commitment to ensure that children are adequately catered for regarding </w:t>
      </w:r>
      <w:r w:rsidR="00C202FF" w:rsidRPr="00C202FF">
        <w:rPr>
          <w:sz w:val="28"/>
          <w:szCs w:val="28"/>
        </w:rPr>
        <w:t>cultural,</w:t>
      </w:r>
      <w:r w:rsidRPr="00C202FF">
        <w:rPr>
          <w:sz w:val="28"/>
          <w:szCs w:val="28"/>
        </w:rPr>
        <w:t xml:space="preserve"> allergen, dietary, and medical needs as well as the actions taken to reduce the risk of choking and ensuring all children have access to nutritional and well-balanced meals throughout the day regardless of background, culture, dietary requirements.</w:t>
      </w:r>
    </w:p>
    <w:p w14:paraId="13759DEB" w14:textId="0527C518" w:rsidR="00573526" w:rsidRPr="00C202FF" w:rsidRDefault="00DA5B62" w:rsidP="00A0096D">
      <w:pPr>
        <w:spacing w:after="0"/>
        <w:rPr>
          <w:sz w:val="28"/>
          <w:szCs w:val="28"/>
        </w:rPr>
      </w:pPr>
      <w:r w:rsidRPr="00C202FF">
        <w:rPr>
          <w:sz w:val="28"/>
          <w:szCs w:val="28"/>
        </w:rPr>
        <w:t xml:space="preserve"> </w:t>
      </w:r>
      <w:r w:rsidRPr="00C202FF">
        <w:rPr>
          <w:b/>
          <w:bCs/>
          <w:sz w:val="28"/>
          <w:szCs w:val="28"/>
        </w:rPr>
        <w:t>Staff Training</w:t>
      </w:r>
      <w:r w:rsidRPr="00C202FF">
        <w:rPr>
          <w:sz w:val="28"/>
          <w:szCs w:val="28"/>
        </w:rPr>
        <w:t xml:space="preserve"> – Included in our Safer Recruitment Policy we show our dedication to safeguarding, recognising signs of abuse, following children’s development etc by outlining how we ensure our staff are trained and the impact this has towards Safeguarding the children in our care.</w:t>
      </w:r>
    </w:p>
    <w:p w14:paraId="7E70BC36" w14:textId="3B469C10" w:rsidR="00DA5B62" w:rsidRPr="00C202FF" w:rsidRDefault="00DA5B62" w:rsidP="00A0096D">
      <w:pPr>
        <w:spacing w:after="0"/>
        <w:rPr>
          <w:sz w:val="28"/>
          <w:szCs w:val="28"/>
        </w:rPr>
      </w:pPr>
      <w:r w:rsidRPr="00C202FF">
        <w:rPr>
          <w:b/>
          <w:bCs/>
          <w:sz w:val="28"/>
          <w:szCs w:val="28"/>
        </w:rPr>
        <w:t>Equal Opportunities</w:t>
      </w:r>
      <w:r w:rsidRPr="00C202FF">
        <w:rPr>
          <w:sz w:val="28"/>
          <w:szCs w:val="28"/>
        </w:rPr>
        <w:t xml:space="preserve"> – Our </w:t>
      </w:r>
      <w:r w:rsidR="00C202FF" w:rsidRPr="00C202FF">
        <w:rPr>
          <w:sz w:val="28"/>
          <w:szCs w:val="28"/>
        </w:rPr>
        <w:t xml:space="preserve">Policies </w:t>
      </w:r>
      <w:r w:rsidRPr="00C202FF">
        <w:rPr>
          <w:sz w:val="28"/>
          <w:szCs w:val="28"/>
        </w:rPr>
        <w:t xml:space="preserve">on the following shows our commitment that all the children in our care </w:t>
      </w:r>
      <w:r w:rsidR="00C202FF" w:rsidRPr="00C202FF">
        <w:rPr>
          <w:sz w:val="28"/>
          <w:szCs w:val="28"/>
        </w:rPr>
        <w:t>regardless</w:t>
      </w:r>
      <w:r w:rsidRPr="00C202FF">
        <w:rPr>
          <w:sz w:val="28"/>
          <w:szCs w:val="28"/>
        </w:rPr>
        <w:t xml:space="preserve"> of</w:t>
      </w:r>
      <w:r w:rsidR="00C202FF" w:rsidRPr="00C202FF">
        <w:rPr>
          <w:sz w:val="28"/>
          <w:szCs w:val="28"/>
        </w:rPr>
        <w:t xml:space="preserve"> </w:t>
      </w:r>
      <w:r w:rsidRPr="00C202FF">
        <w:rPr>
          <w:sz w:val="28"/>
          <w:szCs w:val="28"/>
        </w:rPr>
        <w:t>Race, Gender, religion, cultural beliefs etc are all offere</w:t>
      </w:r>
      <w:r w:rsidR="00C202FF" w:rsidRPr="00C202FF">
        <w:rPr>
          <w:sz w:val="28"/>
          <w:szCs w:val="28"/>
        </w:rPr>
        <w:t>d</w:t>
      </w:r>
      <w:r w:rsidRPr="00C202FF">
        <w:rPr>
          <w:sz w:val="28"/>
          <w:szCs w:val="28"/>
        </w:rPr>
        <w:t xml:space="preserve"> the same opportunities and access to learning</w:t>
      </w:r>
    </w:p>
    <w:p w14:paraId="6A778206" w14:textId="33EEE5C5" w:rsidR="00C202FF" w:rsidRPr="00C202FF" w:rsidRDefault="00C202FF" w:rsidP="00C202FF">
      <w:pPr>
        <w:pStyle w:val="ListParagraph"/>
        <w:numPr>
          <w:ilvl w:val="0"/>
          <w:numId w:val="1"/>
        </w:numPr>
        <w:spacing w:after="0"/>
        <w:rPr>
          <w:sz w:val="28"/>
          <w:szCs w:val="28"/>
        </w:rPr>
      </w:pPr>
      <w:r w:rsidRPr="00C202FF">
        <w:rPr>
          <w:sz w:val="28"/>
          <w:szCs w:val="28"/>
        </w:rPr>
        <w:t>Equal Opportunities</w:t>
      </w:r>
    </w:p>
    <w:p w14:paraId="405E0412" w14:textId="7EF5D546" w:rsidR="00C202FF" w:rsidRPr="00C202FF" w:rsidRDefault="00C202FF" w:rsidP="00C202FF">
      <w:pPr>
        <w:pStyle w:val="ListParagraph"/>
        <w:numPr>
          <w:ilvl w:val="0"/>
          <w:numId w:val="1"/>
        </w:numPr>
        <w:spacing w:after="0"/>
        <w:rPr>
          <w:sz w:val="28"/>
          <w:szCs w:val="28"/>
        </w:rPr>
      </w:pPr>
      <w:r w:rsidRPr="00C202FF">
        <w:rPr>
          <w:sz w:val="28"/>
          <w:szCs w:val="28"/>
        </w:rPr>
        <w:t>Working in Partnership With Parents</w:t>
      </w:r>
    </w:p>
    <w:p w14:paraId="056CF69A" w14:textId="0F773430" w:rsidR="00C202FF" w:rsidRPr="00C202FF" w:rsidRDefault="00C202FF" w:rsidP="00C202FF">
      <w:pPr>
        <w:pStyle w:val="ListParagraph"/>
        <w:numPr>
          <w:ilvl w:val="0"/>
          <w:numId w:val="1"/>
        </w:numPr>
        <w:spacing w:after="0"/>
        <w:rPr>
          <w:sz w:val="28"/>
          <w:szCs w:val="28"/>
        </w:rPr>
      </w:pPr>
      <w:r w:rsidRPr="00C202FF">
        <w:rPr>
          <w:sz w:val="28"/>
          <w:szCs w:val="28"/>
        </w:rPr>
        <w:t>Prevent Duty</w:t>
      </w:r>
    </w:p>
    <w:p w14:paraId="59BE8DD7" w14:textId="4930EC9B" w:rsidR="00C202FF" w:rsidRPr="00C202FF" w:rsidRDefault="00C202FF" w:rsidP="00C202FF">
      <w:pPr>
        <w:pStyle w:val="ListParagraph"/>
        <w:numPr>
          <w:ilvl w:val="0"/>
          <w:numId w:val="1"/>
        </w:numPr>
        <w:spacing w:after="0"/>
        <w:rPr>
          <w:sz w:val="28"/>
          <w:szCs w:val="28"/>
        </w:rPr>
      </w:pPr>
      <w:r w:rsidRPr="00C202FF">
        <w:rPr>
          <w:sz w:val="28"/>
          <w:szCs w:val="28"/>
        </w:rPr>
        <w:t>Raising Concerns Policy</w:t>
      </w:r>
    </w:p>
    <w:p w14:paraId="7D7A4013" w14:textId="0F07D0F0" w:rsidR="00C202FF" w:rsidRPr="00C202FF" w:rsidRDefault="00C202FF" w:rsidP="00C202FF">
      <w:pPr>
        <w:pStyle w:val="ListParagraph"/>
        <w:numPr>
          <w:ilvl w:val="0"/>
          <w:numId w:val="1"/>
        </w:numPr>
        <w:spacing w:after="0"/>
        <w:rPr>
          <w:sz w:val="28"/>
          <w:szCs w:val="28"/>
        </w:rPr>
      </w:pPr>
      <w:r w:rsidRPr="00C202FF">
        <w:rPr>
          <w:sz w:val="28"/>
          <w:szCs w:val="28"/>
        </w:rPr>
        <w:t>Special Category Data</w:t>
      </w:r>
    </w:p>
    <w:p w14:paraId="79771E42" w14:textId="76D98B64" w:rsidR="00C202FF" w:rsidRPr="00C202FF" w:rsidRDefault="00C202FF" w:rsidP="00C202FF">
      <w:pPr>
        <w:pStyle w:val="ListParagraph"/>
        <w:numPr>
          <w:ilvl w:val="0"/>
          <w:numId w:val="1"/>
        </w:numPr>
        <w:spacing w:after="0"/>
        <w:rPr>
          <w:sz w:val="28"/>
          <w:szCs w:val="28"/>
        </w:rPr>
      </w:pPr>
      <w:r w:rsidRPr="00C202FF">
        <w:rPr>
          <w:sz w:val="28"/>
          <w:szCs w:val="28"/>
        </w:rPr>
        <w:t>Safeguarding</w:t>
      </w:r>
    </w:p>
    <w:p w14:paraId="3D999CB9" w14:textId="2CD7388B" w:rsidR="00C202FF" w:rsidRPr="00C202FF" w:rsidRDefault="00C202FF" w:rsidP="00C202FF">
      <w:pPr>
        <w:pStyle w:val="ListParagraph"/>
        <w:numPr>
          <w:ilvl w:val="0"/>
          <w:numId w:val="1"/>
        </w:numPr>
        <w:spacing w:after="0"/>
        <w:rPr>
          <w:sz w:val="28"/>
          <w:szCs w:val="28"/>
        </w:rPr>
      </w:pPr>
      <w:r w:rsidRPr="00C202FF">
        <w:rPr>
          <w:sz w:val="28"/>
          <w:szCs w:val="28"/>
        </w:rPr>
        <w:t>Code of Conduct</w:t>
      </w:r>
    </w:p>
    <w:p w14:paraId="546C2638" w14:textId="558F7151" w:rsidR="00C202FF" w:rsidRPr="00C202FF" w:rsidRDefault="00C202FF" w:rsidP="00C202FF">
      <w:pPr>
        <w:pStyle w:val="ListParagraph"/>
        <w:numPr>
          <w:ilvl w:val="0"/>
          <w:numId w:val="1"/>
        </w:numPr>
        <w:spacing w:after="0"/>
        <w:rPr>
          <w:sz w:val="28"/>
          <w:szCs w:val="28"/>
        </w:rPr>
      </w:pPr>
      <w:r w:rsidRPr="00C202FF">
        <w:rPr>
          <w:sz w:val="28"/>
          <w:szCs w:val="28"/>
        </w:rPr>
        <w:t xml:space="preserve">Safer Recruitment </w:t>
      </w:r>
    </w:p>
    <w:p w14:paraId="42E5747F" w14:textId="7CCEBC3A" w:rsidR="00C202FF" w:rsidRPr="00C202FF" w:rsidRDefault="00C202FF" w:rsidP="00C202FF">
      <w:pPr>
        <w:pStyle w:val="ListParagraph"/>
        <w:numPr>
          <w:ilvl w:val="0"/>
          <w:numId w:val="1"/>
        </w:numPr>
        <w:spacing w:after="0"/>
        <w:rPr>
          <w:sz w:val="28"/>
          <w:szCs w:val="28"/>
        </w:rPr>
      </w:pPr>
      <w:r w:rsidRPr="00C202FF">
        <w:rPr>
          <w:sz w:val="28"/>
          <w:szCs w:val="28"/>
        </w:rPr>
        <w:t>Hygiene/Personal/Intimate Care Policy</w:t>
      </w:r>
    </w:p>
    <w:p w14:paraId="0A87D8C5" w14:textId="733EB172" w:rsidR="00C202FF" w:rsidRPr="00C202FF" w:rsidRDefault="00C202FF" w:rsidP="00C202FF">
      <w:pPr>
        <w:pStyle w:val="ListParagraph"/>
        <w:numPr>
          <w:ilvl w:val="0"/>
          <w:numId w:val="1"/>
        </w:numPr>
        <w:spacing w:after="0"/>
        <w:rPr>
          <w:sz w:val="28"/>
          <w:szCs w:val="28"/>
        </w:rPr>
      </w:pPr>
      <w:r w:rsidRPr="00C202FF">
        <w:rPr>
          <w:sz w:val="28"/>
          <w:szCs w:val="28"/>
        </w:rPr>
        <w:t>Confidentiality and GDPR</w:t>
      </w:r>
    </w:p>
    <w:p w14:paraId="3FAE9DCD" w14:textId="0888601A" w:rsidR="00C202FF" w:rsidRPr="00C202FF" w:rsidRDefault="00C202FF" w:rsidP="00C202FF">
      <w:pPr>
        <w:pStyle w:val="ListParagraph"/>
        <w:numPr>
          <w:ilvl w:val="0"/>
          <w:numId w:val="1"/>
        </w:numPr>
        <w:spacing w:after="0"/>
        <w:rPr>
          <w:sz w:val="28"/>
          <w:szCs w:val="28"/>
        </w:rPr>
      </w:pPr>
      <w:r w:rsidRPr="00C202FF">
        <w:rPr>
          <w:sz w:val="28"/>
          <w:szCs w:val="28"/>
        </w:rPr>
        <w:t>Drug and Alcohol Policy</w:t>
      </w:r>
    </w:p>
    <w:p w14:paraId="672299C5" w14:textId="555E6C3F" w:rsidR="00C202FF" w:rsidRPr="00C202FF" w:rsidRDefault="00C202FF" w:rsidP="00C202FF">
      <w:pPr>
        <w:spacing w:after="0"/>
        <w:rPr>
          <w:sz w:val="28"/>
          <w:szCs w:val="28"/>
        </w:rPr>
      </w:pPr>
      <w:r w:rsidRPr="00C202FF">
        <w:rPr>
          <w:sz w:val="28"/>
          <w:szCs w:val="28"/>
        </w:rPr>
        <w:t xml:space="preserve">All of our Policies can be found on our website at </w:t>
      </w:r>
      <w:hyperlink r:id="rId6" w:history="1">
        <w:r w:rsidRPr="00C202FF">
          <w:rPr>
            <w:rStyle w:val="Hyperlink"/>
            <w:sz w:val="28"/>
            <w:szCs w:val="28"/>
          </w:rPr>
          <w:t>https://hayleyslittleheroes.co.uk</w:t>
        </w:r>
      </w:hyperlink>
      <w:r w:rsidRPr="00C202FF">
        <w:rPr>
          <w:sz w:val="28"/>
          <w:szCs w:val="28"/>
        </w:rPr>
        <w:t xml:space="preserve"> or our in-house application for parents </w:t>
      </w:r>
      <w:proofErr w:type="spellStart"/>
      <w:r w:rsidRPr="00C202FF">
        <w:rPr>
          <w:sz w:val="28"/>
          <w:szCs w:val="28"/>
        </w:rPr>
        <w:t>babysdays</w:t>
      </w:r>
      <w:proofErr w:type="spellEnd"/>
      <w:r w:rsidRPr="00C202FF">
        <w:rPr>
          <w:sz w:val="28"/>
          <w:szCs w:val="28"/>
        </w:rPr>
        <w:t xml:space="preserve">. </w:t>
      </w:r>
    </w:p>
    <w:p w14:paraId="5A6CBCA7" w14:textId="77777777" w:rsidR="00573526" w:rsidRPr="00C202FF" w:rsidRDefault="00573526" w:rsidP="00A0096D">
      <w:pPr>
        <w:spacing w:after="0"/>
        <w:rPr>
          <w:sz w:val="28"/>
          <w:szCs w:val="28"/>
        </w:rPr>
      </w:pPr>
    </w:p>
    <w:p w14:paraId="25591A58" w14:textId="122C3A5C" w:rsidR="00573526" w:rsidRPr="00C202FF" w:rsidRDefault="00573526" w:rsidP="00A0096D">
      <w:pPr>
        <w:spacing w:after="0"/>
        <w:rPr>
          <w:b/>
          <w:bCs/>
          <w:sz w:val="28"/>
          <w:szCs w:val="28"/>
        </w:rPr>
      </w:pPr>
      <w:r w:rsidRPr="00C202FF">
        <w:rPr>
          <w:b/>
          <w:bCs/>
          <w:sz w:val="28"/>
          <w:szCs w:val="28"/>
        </w:rPr>
        <w:t xml:space="preserve">Updated June 2025 </w:t>
      </w:r>
    </w:p>
    <w:p w14:paraId="14827691" w14:textId="094EDFF0" w:rsidR="00573526" w:rsidRPr="00C202FF" w:rsidRDefault="00573526" w:rsidP="00A0096D">
      <w:pPr>
        <w:spacing w:after="0"/>
        <w:rPr>
          <w:b/>
          <w:bCs/>
          <w:sz w:val="28"/>
          <w:szCs w:val="28"/>
        </w:rPr>
      </w:pPr>
      <w:r w:rsidRPr="00C202FF">
        <w:rPr>
          <w:b/>
          <w:bCs/>
          <w:sz w:val="28"/>
          <w:szCs w:val="28"/>
        </w:rPr>
        <w:t xml:space="preserve">Hayley Ashorobi </w:t>
      </w:r>
    </w:p>
    <w:p w14:paraId="21D94AD3" w14:textId="64B587C1" w:rsidR="00573526" w:rsidRPr="00C202FF" w:rsidRDefault="00573526" w:rsidP="00A0096D">
      <w:pPr>
        <w:spacing w:after="0"/>
        <w:rPr>
          <w:b/>
          <w:bCs/>
          <w:sz w:val="28"/>
          <w:szCs w:val="28"/>
        </w:rPr>
      </w:pPr>
      <w:r w:rsidRPr="00C202FF">
        <w:rPr>
          <w:b/>
          <w:bCs/>
          <w:sz w:val="28"/>
          <w:szCs w:val="28"/>
        </w:rPr>
        <w:t>Review June 2026</w:t>
      </w:r>
    </w:p>
    <w:sectPr w:rsidR="00573526" w:rsidRPr="00C202FF" w:rsidSect="00A009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A19C4"/>
    <w:multiLevelType w:val="hybridMultilevel"/>
    <w:tmpl w:val="41D61C88"/>
    <w:lvl w:ilvl="0" w:tplc="5B78645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00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6D"/>
    <w:rsid w:val="000225B3"/>
    <w:rsid w:val="005538D7"/>
    <w:rsid w:val="00573526"/>
    <w:rsid w:val="00835A94"/>
    <w:rsid w:val="00A0096D"/>
    <w:rsid w:val="00C202FF"/>
    <w:rsid w:val="00D5735D"/>
    <w:rsid w:val="00DA5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345B"/>
  <w15:chartTrackingRefBased/>
  <w15:docId w15:val="{E8C5F112-F1E3-417A-9DC3-A0B309E0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96D"/>
    <w:rPr>
      <w:rFonts w:eastAsiaTheme="majorEastAsia" w:cstheme="majorBidi"/>
      <w:color w:val="272727" w:themeColor="text1" w:themeTint="D8"/>
    </w:rPr>
  </w:style>
  <w:style w:type="paragraph" w:styleId="Title">
    <w:name w:val="Title"/>
    <w:basedOn w:val="Normal"/>
    <w:next w:val="Normal"/>
    <w:link w:val="TitleChar"/>
    <w:uiPriority w:val="10"/>
    <w:qFormat/>
    <w:rsid w:val="00A00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96D"/>
    <w:pPr>
      <w:spacing w:before="160"/>
      <w:jc w:val="center"/>
    </w:pPr>
    <w:rPr>
      <w:i/>
      <w:iCs/>
      <w:color w:val="404040" w:themeColor="text1" w:themeTint="BF"/>
    </w:rPr>
  </w:style>
  <w:style w:type="character" w:customStyle="1" w:styleId="QuoteChar">
    <w:name w:val="Quote Char"/>
    <w:basedOn w:val="DefaultParagraphFont"/>
    <w:link w:val="Quote"/>
    <w:uiPriority w:val="29"/>
    <w:rsid w:val="00A0096D"/>
    <w:rPr>
      <w:i/>
      <w:iCs/>
      <w:color w:val="404040" w:themeColor="text1" w:themeTint="BF"/>
    </w:rPr>
  </w:style>
  <w:style w:type="paragraph" w:styleId="ListParagraph">
    <w:name w:val="List Paragraph"/>
    <w:basedOn w:val="Normal"/>
    <w:uiPriority w:val="34"/>
    <w:qFormat/>
    <w:rsid w:val="00A0096D"/>
    <w:pPr>
      <w:ind w:left="720"/>
      <w:contextualSpacing/>
    </w:pPr>
  </w:style>
  <w:style w:type="character" w:styleId="IntenseEmphasis">
    <w:name w:val="Intense Emphasis"/>
    <w:basedOn w:val="DefaultParagraphFont"/>
    <w:uiPriority w:val="21"/>
    <w:qFormat/>
    <w:rsid w:val="00A0096D"/>
    <w:rPr>
      <w:i/>
      <w:iCs/>
      <w:color w:val="0F4761" w:themeColor="accent1" w:themeShade="BF"/>
    </w:rPr>
  </w:style>
  <w:style w:type="paragraph" w:styleId="IntenseQuote">
    <w:name w:val="Intense Quote"/>
    <w:basedOn w:val="Normal"/>
    <w:next w:val="Normal"/>
    <w:link w:val="IntenseQuoteChar"/>
    <w:uiPriority w:val="30"/>
    <w:qFormat/>
    <w:rsid w:val="00A00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96D"/>
    <w:rPr>
      <w:i/>
      <w:iCs/>
      <w:color w:val="0F4761" w:themeColor="accent1" w:themeShade="BF"/>
    </w:rPr>
  </w:style>
  <w:style w:type="character" w:styleId="IntenseReference">
    <w:name w:val="Intense Reference"/>
    <w:basedOn w:val="DefaultParagraphFont"/>
    <w:uiPriority w:val="32"/>
    <w:qFormat/>
    <w:rsid w:val="00A0096D"/>
    <w:rPr>
      <w:b/>
      <w:bCs/>
      <w:smallCaps/>
      <w:color w:val="0F4761" w:themeColor="accent1" w:themeShade="BF"/>
      <w:spacing w:val="5"/>
    </w:rPr>
  </w:style>
  <w:style w:type="character" w:styleId="Hyperlink">
    <w:name w:val="Hyperlink"/>
    <w:basedOn w:val="DefaultParagraphFont"/>
    <w:uiPriority w:val="99"/>
    <w:unhideWhenUsed/>
    <w:rsid w:val="00C202FF"/>
    <w:rPr>
      <w:color w:val="467886" w:themeColor="hyperlink"/>
      <w:u w:val="single"/>
    </w:rPr>
  </w:style>
  <w:style w:type="character" w:styleId="UnresolvedMention">
    <w:name w:val="Unresolved Mention"/>
    <w:basedOn w:val="DefaultParagraphFont"/>
    <w:uiPriority w:val="99"/>
    <w:semiHidden/>
    <w:unhideWhenUsed/>
    <w:rsid w:val="00C2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yleyslittleheroe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4</cp:revision>
  <dcterms:created xsi:type="dcterms:W3CDTF">2025-06-20T09:53:00Z</dcterms:created>
  <dcterms:modified xsi:type="dcterms:W3CDTF">2025-09-11T14:50:00Z</dcterms:modified>
</cp:coreProperties>
</file>